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324</w:t>
      </w:r>
    </w:p>
    <w:p>
      <w:r>
        <w:t>Bundesgericht (BGE), 2011-06-28, DE</w:t>
      </w:r>
    </w:p>
    <w:p>
      <w:r>
        <w:rPr>
          <w:b/>
        </w:rPr>
        <w:t xml:space="preserve">Quelle: </w:t>
      </w:r>
      <w:r>
        <w:t>https://mcp.opencaselaw.ch/entscheid/bge_137 III 324</w:t>
      </w:r>
    </w:p>
    <w:p>
      <w:r>
        <w:t>FR: ATF 137 III 324</w:t>
      </w:r>
    </w:p>
    <w:p>
      <w:r>
        <w:t>IT: DTF 137 III 324</w:t>
      </w:r>
    </w:p>
    <w:p>
      <w:pPr>
        <w:pStyle w:val="Heading2"/>
      </w:pPr>
      <w:r>
        <w:t>Regeste</w:t>
      </w:r>
    </w:p>
    <w:p>
      <w:r>
        <w:t>Regeste a Vorsorgliche Massnahmen; Eintretensvoraussetzungen; Anforderungen an die Beschwerdebegründung (Art. 93 Abs. 1 lit. a und Art. 42 Abs. 2 BGG). Es ist fraglich, ob im Zusammenhang mit vorsorglichen Massnahmeentscheiden am bisherigen Verständnis des nicht wieder gutzumachenden Nachteils im Sinne von Art. 93 Abs. 1 lit. a BGG festgehalten werden kann. Der Beschwerdeführer, der einen Massnahmeentscheid beim Bundesgericht anficht, hat in der Beschwerdebegründung aufzuzeigen, inwiefern ihm im konkreten Fall ein nicht wieder gutzumachender Nachteil rechtlicher Natur droht (E. 1.1).</w:t>
      </w:r>
    </w:p>
    <w:p>
      <w:r>
        <w:t>Regeste b Zulässigkeit von Gerichtsgutachten in immaterialgüterrechtlichen Massnahmeverfahren (Art. 254 ZPO); rechtliches Gehör (Art. 29 Abs. 2 BV). Kurzgutachten zu technischen Fragen sind in immaterialgüterrechtlichen Massnahmeverfahren auch unter der Herrschaft der ZPO als Beweismittel zulässig. Gehörsverletzung im konkreten Fall betreffend eine Markenrechtsstreitigkeit bejaht, da die Vorinstanz den absoluten Ausschlussgrund der technischen Notwendigkeit der beanspruchten Form mangels eigener Sachkunde nicht ohne Beizug eines unabhängigen gerichtlichen Sachverständigen beurteilen konnte (E. 3.2).</w:t>
      </w:r>
    </w:p>
    <w:p>
      <w:pPr>
        <w:pStyle w:val="Heading2"/>
      </w:pPr>
      <w:r>
        <w:t>Erwägungen</w:t>
      </w:r>
    </w:p>
    <w:p>
      <w:r>
        <w:rPr>
          <w:b/>
        </w:rPr>
        <w:t>E. 1.1</w:t>
      </w:r>
    </w:p>
    <w:p>
      <w:r>
        <w:t>Entscheide über vorsorgliche Massnahmen gelten nur dann als Endentscheide im Sinne von Art. 90 BGG , wenn sie in einem eigenständigen Verfahren ergehen. Selbständig eröffnete BGE 137 III 324 S. 328 Massnahmeentscheide, die vor oder während eines Hauptverfahrens erlassen werden und nur für die Dauer des Hauptverfahrens Bestand haben bzw. unter der Bedingung, dass ein Hauptverfahren eingeleitet wird, stellen Zwischenentscheide im Sinne von Art. 93 BGG dar. Gegen solche ist die Beschwerde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134 I 83 E. 3.1 S. 86 f. mit Hinweisen). Der angefochtene Entscheid betrifft vorsorgliche Massnahmen, die vor einem Hauptverfahren beantragt wurden und nur unter der Bedingung Bestand haben, dass innert Frist ein Hauptverfahren eingeleitet wird. Demnach handelt es sich um einen Zwischenentscheid nach Art. 93 BGG . Nach der publizierten Rechtsprechung wurde bis anhin bei Zwischenentscheiden, mit denen vorsorgliche Massnahmen erlassen bzw. verweigert wurden, ein nicht wieder gutzumachender Nachteil regelmässig bejaht. Nach einem Grundsatzentscheid zur staatsrechtlichen Beschwerde sind die Begriffe des Nachteils als materielle Voraussetzung des vorsorglichen Rechtsschutzes einerseits sowie des Nachteils als formell-prozessuale Beschwerdevoraussetzung andererseits auseinanderzuhalten: jener liegt in der Beeinträchtigung des Beschwerdeführers in seiner materiellen Rechtsstellung, dieser in der Verweigerung der Verfassungskontrolle, d.h. in der Beeinträchtigung seiner formellen Rechtsstellung ( BGE 116 Ia 446 E. 2 S. 447 mit Verweis auf BGE 114 II 368 E. 2 S. 369; BGE 108 II 68 E. 1 S. 71; BGE 103 II 120 E. 1 S. 122). Ein neuerer Entscheid, der ausdrücklich auf diese Rechtsprechung Bezug nimmt, geht davon aus, es liege auf der Hand, dass ein solcher Massnahmeentscheid einen nicht wieder gutzumachenden Nachteil bewirken und daher beim Bundesgericht mit Beschwerde angefochten werden kann ( BGE 134 I 83 E. 3.1 S. 87). Es ist fraglich, ob an diesem Verständnis des nicht wieder gutzumachenden Nachteils im Sinne von Art. 93 Abs. 1 lit. a BGG , das für letztinstanzliche Entscheide über vorsorgliche Massnahmen ohne Weiteres die Beschwerdemöglichkeit an das Bundesgericht eröffnet, festgehalten werden kann. Jedenfalls ist in Zukunft zu fordern, dass der Beschwerdeführer, der einen Massnahmeentscheid beim Bundesgericht anficht, in der Beschwerdebegründung aufzeigt, inwiefern ihm im konkreten Fall ein nicht wieder gutzumachender BGE 137 III 324 S. 329 Nachteil rechtlicher Natur droht. Es entspricht denn auch konstanter Rechtsprechung zu Art. 93 Abs. 1 BGG , dass der Beschwerdeführer im Einzelnen darzulegen hat, inwiefern die Beschwerdevoraussetzungen nach dieser Bestimmung erfüllt sind, ansonsten auf die Beschwerde mangels hinreichender Begründung nicht einzutreten ist (vgl. BGE 134 III 426 E. 1.2 S. 429; BGE 133 III 629 E. 2.3.1 S. 632 und E. 2.4.2 S. 633; vgl. auch BGE 136 IV 92 E. 4 S. 95; BGE 133 IV 288 E. 3.2 S. 292). Die Beschwerdeführerinnen, die in ihrer Beschwerdeschrift bloss in pauschaler Weise die Erschwernis eines späteren Schadensnachweises bzw. die Gefahr einer Marktverwirrung behaupten, durften sich auf die bisherige Rechtsprechung zur Anfechtung von Entscheiden über vorsorgliche Massnahmen verlassen. Es wäre daher mit dem Grundsatz von Treu und Glauben ( Art. 2 Abs. 1 ZGB sowie Art. 9 BV ) nicht zu vereinbaren, ihnen im Hinblick auf die Eintretensfrage eine unzureichende Begründung vorzuwerfen. Auf die Beschwerde ist daher grundsätzlich einzutreten. (...)</w:t>
      </w:r>
    </w:p>
    <w:p>
      <w:r>
        <w:rPr>
          <w:b/>
        </w:rPr>
        <w:t>E. 3</w:t>
      </w:r>
    </w:p>
    <w:p>
      <w:r>
        <w:t>(...)</w:t>
      </w:r>
    </w:p>
    <w:p>
      <w:r>
        <w:rPr>
          <w:b/>
        </w:rPr>
        <w:t>E. 3.2.1</w:t>
      </w:r>
    </w:p>
    <w:p>
      <w:r>
        <w:t>Die Beschwerdeführerinnen rügen, die Vorinstanz habe ihren Gehörsanspruch ( Art. 29 Abs. 2 BV ) sowie das Willkürverbot ( Art. 9 BV ) missachtet, indem sie fristgerecht und formgültig angebotene Beweismittel unberücksichtigt gelassen habe zur massgebenden Frage, ob Alternativformen von Kaffeekapseln existierten, die mit Nespresso-Maschinen kompatibel seien.</w:t>
      </w:r>
    </w:p>
    <w:p>
      <w:r>
        <w:rPr>
          <w:b/>
        </w:rPr>
        <w:t>E. 3.2.2</w:t>
      </w:r>
    </w:p>
    <w:p>
      <w:r>
        <w:t>Sie bringen unter Hinweis auf ihre Eingaben im kantonalen Verfahren vor, sie hätten einerseits Beweise dazu offeriert, dass auch in ihrer Form "veränderte" Nespresso-Kapseln in Nespresso-Kaffeemaschinen funktionierten. Andererseits hätten sie fünf konkrete Alternativformen aufgezeigt, die in Nespresso-Maschinen verwendet werden könnten, und dargelegt, dass diese Alternativformen gleich praktisch und solide bzw. deren Herstellungskosten nicht oder zumindest nicht massgeblich höher seien, wobei sie hierzu Beweismittel offeriert hätten. Bereits in Ziffer 6 des Massnahmegesuchs hätten sie sich ausdrücklich auf das Beweismittel der Expertise bzw. Kurzexpertise berufen. Eine solche sei insbesondere betreffend Praktikabilität, Solidität und Kosten von fünf konkret aufgezeigten (kompatiblen) Alternativformen beantragt worden. Die Vorinstanz habe die Behauptungen der Beschwerdeführerinnen als nicht BGE 137 III 324 S. 330 glaubhaft erachtet, ohne die von ihnen offerierten Beweismittel überhaupt zu würdigen.Nach der bundesgerichtlichen Rechtsprechung liegt eine technisch notwendige Form im Sinne von Art. 2 lit. b MSchG (SR 232.11) vor, wenn dem Konkurrenten für ein Produkt der betreffenden Art (technisch) überhaupt keine alternative Form zur Verfügung steht oder im Interesse eines funktionierenden Wettbewerbs nicht zugemutet werden kann, indem er eine weniger praktische, eine weniger solide oder eine mit höheren Herstellungskosten verbundene Ausführung wählen müsste ( BGE 129 III 514 E. 2.4.2 S. 519 sowie E. 3.2.1 und 3.2.2 S. 522 f. mit Hinweisen). Die Beschwerdeführerinnen zeigen mit Aktenhinweisen auf, dass sie vor der Vorinstanz in ihrem Massnahmegesuch ausgeführt haben, es bestünden verschiedene alternative Formen von in Nespresso-Maschinen verwendbaren Kaffeekapseln, die gleich praktisch und solid wie Nespresso-Kapseln und nicht mit rechtlich relevant höheren Herstellungskosten verbunden wären, wofür die Beschwerdeführerinnen eine Kurzexpertise beantragt haben. Der angefochtene Entscheid erwähnt den Beweisantrag der Expertise im Zusammenhang mit der Behauptung der Beschwerdeführerinnen, selbst Kapseln, die in Nespresso-Maschinen passten, könnten so gestaltet werden, dass sie sich äusserlich deutlich von den Nespresso-Kapseln unterscheiden würden. Die Vorinstanz führt aus, die Beschwerdeführerinnen hätten hierzu Abbildungen möglicher kompatibler Alternativformen von Kaffeekapseln eingereicht. Indem sie in diesem Zusammenhang insbesondere den Beweisantrag der Expertise stellten, so die Vorinstanz weiter, gingen sie "allerdings selber davon aus, dass die Grenzziehung in keiner Weise von vornherein klar ist, wie weit eine Kapsel eines Drittanbieters von einer Nespresso-Kapsel verschieden sein und trotzdem noch in den Nespresso-Maschinen eingesetzt werden kann". Die Beschwerdeführerinnen machen zu Recht geltend, dass es nicht vertretbar ist, den Umstand der als Beweismittel beantragten Expertise zu ihren Ungunsten auszulegen. Vielmehr ergibt sich aus dem Anspruch auf rechtliches Gehör ( Art. 29 Abs. 2 BV ) für die Parteien das Recht, Beweisanträge zu stellen ( BGE 135 II 286 E. 5.1 S. 293 mit Hinweisen). Es entspricht darüber hinaus sorgfältiger Prozessführung, die massgeblichen tatsächlichen Behauptungen mit Beweisofferten zu verbinden. BGE 137 III 324 S. 331 Es ist daher offensichtlich unhaltbar und verletzt den Gehörsanspruch, wenn die Vorinstanz den blossen Umstand, dass die Beschwerdeführerinnen zur umstrittenen Frage der von ihnen behaupteten kompatiblen Alternativformen eine Kurzexpertise beantragt haben, zu Ungunsten der Beschwerdeführerinnen ausgelegt und in der Folge ohne Durchführung eines Beweisverfahrens auf die (bestrittenen) Parteibehauptungen der Beschwerdegegnerinnen abgestellt hat. Abgesehen davon spricht die vorinstanzliche Erkenntnis, dass sich die Beurteilung der Verwendbarkeit behaupteter Alternativformen in Nespresso-Maschinen nicht auf Anhieb erschliesst, sondern die Klärung technischer Fragen voraussetzt, gerade für den Beizug eines unabhängigen Sachverständigen. Zur Beurteilung der technischen Bedeutung der konischen Form der Kaffeekapseln sowie der Funktionsfähigkeit anders geformter Kapseln war die Vorinstanz mangels eigener Fachkunde selbst nicht in der Lage. Damit wurde den Beschwerdeführerinnen der Beweis für die Glaubhaftmachung verwendbarer Alternativformen abgeschnitten. Angesichts des unbestreitbar fachtechnischen Streitpunkts der Verwendbarkeit von Alternativformen in Nespresso-Maschinen im Hinblick auf die Beurteilung des absoluten Ausschlussgrunds der technischen Notwendigkeit der beanspruchten Form ( Art. 2 lit. b MSchG ), ist es auch unter diesem Gesichtspunkt unhaltbar, ohne eigene Sachkunde und ohne Beizug eines unabhängigen gerichtlichen Sachverständigen auf bestrittene Parteibehauptungen der Beschwerdegegnerinnen abzustellen (vgl. BGE 132 III 83 E. 3.5 S. 88; EUGEN MARBACH, Markenrecht, in: Schweizerisches Immaterialgüter- und Wettbewerbsrecht [SIWR], Bd. III/1, 2. Aufl. 2009, Rz. 524). Die Vorinstanz stellte die Zulässigkeit des beantragten Beweismittels der Kurzexpertise im Rahmen des Massnahmeverfahrens nicht in Frage. Ebenso wenig zweifelte sie an, dass diese prozesskonform beantragt worden war. Der Einwand der Beschwerdegegnerinnen, es sei der Vorinstanz angesichts der Beweismittelbeschränkung von Art. 254 ZPO (SR 272) verwehrt gewesen, ein Kurzgutachten einzuholen, verfängt nicht. Diese Bestimmung sieht unter anderem vor, dass neben Urkunden auch andere Beweismittel zulässig sind, wenn es der Verfahrenszweck erfordert ( Art. 254 Abs. 2 lit. b ZPO ). Die Beschwerdegegnerinnen unterbreiten dem Bundesgericht lediglich unter Verweis auf einzelne Lehrmeinungen ihre Rechtsauffassung zum allgemeinen Anwendungsbereich der erwähnten Verfahrensbestimmung, bringen jedoch zu Recht nicht vor, diese lasse sich nicht BGE 137 III 324 S. 332 verfassungskonform anwenden, so dass Kurzgutachten zu technischen Fragen in immaterialgüterrechtlichen Massnahmeverfahren unter der Herrschaft der ZPO fortan ausgeschlossen wären (vgl. etwa CHRISTOPH WILLI, Vorsorgliche Massnahmen nach der Schweizerischen Zivilprozessordnung, sic! 9/2010 S. 597 f.; LUCAS DAVID UND ANDERE, Der Rechtsschutz im Immaterialgüterrecht, in: SIWR, Bd. I/2, 3. Aufl. 2011, Rz. 657; DAMIAN SCHAI, Vorsorglicher Rechtsschutz im Immaterialgüterrecht, 2010, Rz. 83 ff.). Zwar betrafen die Fälle, in denen das Bundesgericht bisher den Beizug eines unabhängigen gerichtlichen Sachverständigen im Massnahmeverfahren für erforderlich erachtet hat, patentrechtliche Fragen (vgl. BGE 132 III 83 E. 3 S. 86 ff.). Die Analogie zum Patentprozess liegt bei der vorliegenden Markenrechtsstreitigkeit jedoch auf der Hand, ist doch zur rechtlichen Beurteilung der Streitsache die Beantwortung rein technischer Fragen ausschlaggebend und lag die Zuständigkeit beim Handelsgerichtspräsidenten allein, der die technischen Vorbringen mangels besonderer Fachkenntnisse auf dem Gebiet der Herstellung von Kaffeekapseln nicht hinreichend auf ihre Richtigkeit prüfen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